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75E" w:rsidRPr="0064375E" w:rsidRDefault="0064375E" w:rsidP="0064375E">
      <w:pPr>
        <w:spacing w:line="480" w:lineRule="auto"/>
        <w:rPr>
          <w:rFonts w:ascii="Times New Roman" w:hAnsi="Times New Roman" w:cs="Times New Roman"/>
          <w:sz w:val="24"/>
          <w:szCs w:val="24"/>
        </w:rPr>
      </w:pPr>
      <w:r w:rsidRPr="0064375E">
        <w:rPr>
          <w:rFonts w:ascii="Times New Roman" w:hAnsi="Times New Roman" w:cs="Times New Roman"/>
          <w:sz w:val="24"/>
          <w:szCs w:val="24"/>
        </w:rPr>
        <w:t>Students name:</w:t>
      </w:r>
    </w:p>
    <w:p w:rsidR="0064375E" w:rsidRPr="0064375E" w:rsidRDefault="0064375E" w:rsidP="0064375E">
      <w:pPr>
        <w:spacing w:line="480" w:lineRule="auto"/>
        <w:rPr>
          <w:rFonts w:ascii="Times New Roman" w:hAnsi="Times New Roman" w:cs="Times New Roman"/>
          <w:sz w:val="24"/>
          <w:szCs w:val="24"/>
        </w:rPr>
      </w:pPr>
      <w:r w:rsidRPr="0064375E">
        <w:rPr>
          <w:rFonts w:ascii="Times New Roman" w:hAnsi="Times New Roman" w:cs="Times New Roman"/>
          <w:sz w:val="24"/>
          <w:szCs w:val="24"/>
        </w:rPr>
        <w:t>Instructor's Name:</w:t>
      </w:r>
    </w:p>
    <w:p w:rsidR="0064375E" w:rsidRPr="0064375E" w:rsidRDefault="0064375E" w:rsidP="0064375E">
      <w:pPr>
        <w:spacing w:line="480" w:lineRule="auto"/>
        <w:rPr>
          <w:rFonts w:ascii="Times New Roman" w:hAnsi="Times New Roman" w:cs="Times New Roman"/>
          <w:sz w:val="24"/>
          <w:szCs w:val="24"/>
        </w:rPr>
      </w:pPr>
      <w:r w:rsidRPr="0064375E">
        <w:rPr>
          <w:rFonts w:ascii="Times New Roman" w:hAnsi="Times New Roman" w:cs="Times New Roman"/>
          <w:sz w:val="24"/>
          <w:szCs w:val="24"/>
        </w:rPr>
        <w:t>Course:</w:t>
      </w:r>
    </w:p>
    <w:p w:rsidR="0064375E" w:rsidRPr="0064375E" w:rsidRDefault="0064375E" w:rsidP="0064375E">
      <w:pPr>
        <w:spacing w:line="480" w:lineRule="auto"/>
        <w:rPr>
          <w:rFonts w:ascii="Times New Roman" w:hAnsi="Times New Roman" w:cs="Times New Roman"/>
          <w:sz w:val="24"/>
          <w:szCs w:val="24"/>
        </w:rPr>
      </w:pPr>
      <w:r w:rsidRPr="0064375E">
        <w:rPr>
          <w:rFonts w:ascii="Times New Roman" w:hAnsi="Times New Roman" w:cs="Times New Roman"/>
          <w:sz w:val="24"/>
          <w:szCs w:val="24"/>
        </w:rPr>
        <w:t>Date</w:t>
      </w:r>
    </w:p>
    <w:p w:rsidR="0064375E" w:rsidRP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jc w:val="center"/>
        <w:rPr>
          <w:rFonts w:ascii="Times New Roman" w:hAnsi="Times New Roman" w:cs="Times New Roman"/>
          <w:b/>
          <w:sz w:val="24"/>
          <w:szCs w:val="24"/>
        </w:rPr>
      </w:pPr>
      <w:r w:rsidRPr="0064375E">
        <w:rPr>
          <w:rFonts w:ascii="Times New Roman" w:hAnsi="Times New Roman" w:cs="Times New Roman"/>
          <w:b/>
          <w:sz w:val="24"/>
          <w:szCs w:val="24"/>
        </w:rPr>
        <w:t>To examine the instructor's use of humor in influencing course evaluations</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Abstract</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Humor is an aspect that plays a significant in communication. Just as is used in psychology, medicine, and literature, humor is also used in the classroom setup. It has been established that humor is a tool that is effective for teaching. This paper finds that use of humor captures and maintains the attention of students, creates a positive relationship between the instructor and learners, minimizes tension and stress within the learning environment, facilitates learning in addition to supporting good retention, develops creativity as well as generally streamlining teaching.  While exploring the concept of using humor by instructors to influence course evaluations, this paper outlines an analysis of both ethical and unethical implications in regards to using humor in learning. A conclusion is made that for positive results in using humor by instructors to be obtained, instructors should be trained to apply this in the noble spirit so as the humanizing strategies of teaching are appealed to. Having an understanding of the positive impact of the use of humor in the class set up would, in turn, encourage the artful use of humor by instructors. </w:t>
      </w:r>
    </w:p>
    <w:p w:rsidR="0064375E" w:rsidRPr="0064375E" w:rsidRDefault="0064375E" w:rsidP="0064375E">
      <w:pPr>
        <w:spacing w:line="480" w:lineRule="auto"/>
        <w:jc w:val="center"/>
        <w:rPr>
          <w:rFonts w:ascii="Times New Roman" w:hAnsi="Times New Roman" w:cs="Times New Roman"/>
          <w:b/>
          <w:sz w:val="24"/>
          <w:szCs w:val="24"/>
        </w:rPr>
      </w:pPr>
      <w:r w:rsidRPr="0064375E">
        <w:rPr>
          <w:rFonts w:ascii="Times New Roman" w:hAnsi="Times New Roman" w:cs="Times New Roman"/>
          <w:b/>
          <w:sz w:val="24"/>
          <w:szCs w:val="24"/>
        </w:rPr>
        <w:lastRenderedPageBreak/>
        <w:t>Literature review</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Use of humor in learning</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Among essential qualities of a teacher, possession of a sense of humor is included (Candela, 202). In a class setting, the instructor invokes the sense of humor by calling to jokes, allusions, funny analogies, comic or irony, plus teasing, ridicule or sarcasm. Chiarello (24) adds that using unconventional associations unusually; role plays, appealing to fantasy illumination, gender stereotyping include more ways of building humor in the classroom. Addressing funny questions in oral examinations could also be a way in which the instructor brings about relation and alleviates the atmosphere. For the use of humor by the instructor to achieve its objective, it must not carry with it the humiliating, derogatory, and caustic aspects that affect parties involved (Englert, 48). </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According to Candela (219), when a teacher uses humor he causes the student to view life positively since in the process, the teacher transmits comfort, trust, benevolence, and relaxation. Chiarello (30) provides that an effective teacher must be the one that can form connections, creating a warm atmosphere with unmatched power of transmitting energy to a learner. As such, it is important that instructors be trained on the role of humor in teaching. The training has to be beneficial to instructors whose orientation towards humor is strong to help them understand the ethical limits while using humor. The sense of humor in instruction implies that the instructor can express creative and spiritual expression to capture students' attention by appealing to emotion (Nadler and Clark, 333). When positive emotion is appealed to, naturally while dealing with students, the implications are distinguishable. This is viewed in the manner in which its link </w:t>
      </w:r>
      <w:r w:rsidRPr="0064375E">
        <w:rPr>
          <w:rFonts w:ascii="Times New Roman" w:hAnsi="Times New Roman" w:cs="Times New Roman"/>
          <w:sz w:val="24"/>
          <w:szCs w:val="24"/>
        </w:rPr>
        <w:lastRenderedPageBreak/>
        <w:t xml:space="preserve">with positive experiences supports motivation in learning thereby increasing learning power and academic achievement (Englert, 49). </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There are numerous psychological and cognitive benefits when humor is used relevantly.  Lei Cohen and Russler, (326) states that it maintains the attention of students in addition to arousing curiosity. The art also contributes to the development of requests thinking and attention (Nadler and Clark, 336). According to Candela (205), the use of humor by instructors develops the skill of critical thinking, nuanced communication. As a result, fun is introduced in the learning process. Boring routines are eliminated by a sense of humor and learners are thrilled to get out of patterns by creating new approaches. Socialization of learns gets to be enhanced when humor is incorporated in learning hence strengthening the groups of learners (Chiarello, 36). </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Theories on humor</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Thinkers have looked into the concept of humor and developed divergent views regarding it. For instance, Piemonte (381) despises the use of humor with the reason that it is directed against other people with contempt and malice. Other reasons for thinkers who despise the use of humor include the belief that laughter takes forms that are offensive and normally occurs during the manifestation of competitive spirit between people, where some people show their superiority over their counterparts (Nadler and Clark, 334). Englert (49) and Candela (221) provide an analysis of humor from the moral dimension. They, therefore, develop a conclusion that use of humor can bring about moral issues. </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The above analysis presents three theories of humor namely; the superiority theory, the aggressiveness theory, and the incongruity theory. The superiority theory is to the effect that </w:t>
      </w:r>
      <w:r w:rsidRPr="0064375E">
        <w:rPr>
          <w:rFonts w:ascii="Times New Roman" w:hAnsi="Times New Roman" w:cs="Times New Roman"/>
          <w:sz w:val="24"/>
          <w:szCs w:val="24"/>
        </w:rPr>
        <w:lastRenderedPageBreak/>
        <w:t xml:space="preserve">pleasure to call to humor is derived from the feeling of superiority of the person laughing (Lei et al., 330). The aggressiveness theory, on the other hand, is described from the psychoanalytic perspective where it is considered to be a disguised form of aggressiveness (Nadler and Clark, 336). The incongruity theory is based on the idea of discrepancy between whatever is expected and what is received (Riesch, 768). </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Research questions/hypothesis</w:t>
      </w:r>
    </w:p>
    <w:p w:rsidR="0064375E" w:rsidRPr="0064375E" w:rsidRDefault="0064375E" w:rsidP="0064375E">
      <w:pPr>
        <w:pStyle w:val="ListParagraph"/>
        <w:numPr>
          <w:ilvl w:val="0"/>
          <w:numId w:val="2"/>
        </w:numPr>
        <w:spacing w:line="480" w:lineRule="auto"/>
        <w:rPr>
          <w:rFonts w:ascii="Times New Roman" w:hAnsi="Times New Roman" w:cs="Times New Roman"/>
          <w:sz w:val="24"/>
          <w:szCs w:val="24"/>
        </w:rPr>
      </w:pPr>
      <w:r w:rsidRPr="0064375E">
        <w:rPr>
          <w:rFonts w:ascii="Times New Roman" w:hAnsi="Times New Roman" w:cs="Times New Roman"/>
          <w:sz w:val="24"/>
          <w:szCs w:val="24"/>
        </w:rPr>
        <w:t>Use of humor minimizes tension that exists between an instructor and the learner.</w:t>
      </w:r>
    </w:p>
    <w:p w:rsidR="0064375E" w:rsidRPr="0064375E" w:rsidRDefault="0064375E" w:rsidP="0064375E">
      <w:pPr>
        <w:pStyle w:val="ListParagraph"/>
        <w:numPr>
          <w:ilvl w:val="0"/>
          <w:numId w:val="2"/>
        </w:numPr>
        <w:spacing w:line="480" w:lineRule="auto"/>
        <w:rPr>
          <w:rFonts w:ascii="Times New Roman" w:hAnsi="Times New Roman" w:cs="Times New Roman"/>
          <w:sz w:val="24"/>
          <w:szCs w:val="24"/>
        </w:rPr>
      </w:pPr>
      <w:r w:rsidRPr="0064375E">
        <w:rPr>
          <w:rFonts w:ascii="Times New Roman" w:hAnsi="Times New Roman" w:cs="Times New Roman"/>
          <w:sz w:val="24"/>
          <w:szCs w:val="24"/>
        </w:rPr>
        <w:t>Use of humor by instructors enhances the learners' understanding of course instructions.</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Methodology</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The study that sought to establish the impact of using humor by instructors to influence course evaluations took place in a class that has more than 100 students studying more than five subjects. The sample size of the study was 20 students and five instructors. The choice of the sample size was based on the convenience of access since the researcher is a course mate. The selected participants were issued with a questionnaire that needed them to respond to issues regarding the use of humor in learning. Before responding to the question, the respondents were required to indicate whether they were learners or instructors and then indicate their gender and age. These elements were critical in determining what each category views the role of humor in studying. The instructors were selected by the researcher's understanding of their level of use of humor in that those who were considered to be very humorous, as well as those who were known for not being humorous, were included. This was for purposes of getting information from people with different beliefs as regards use of humor in this context. Some of the questions </w:t>
      </w:r>
      <w:r w:rsidRPr="0064375E">
        <w:rPr>
          <w:rFonts w:ascii="Times New Roman" w:hAnsi="Times New Roman" w:cs="Times New Roman"/>
          <w:sz w:val="24"/>
          <w:szCs w:val="24"/>
        </w:rPr>
        <w:lastRenderedPageBreak/>
        <w:t>required the participants to state whether they liked the use of humor in learning and provide reasoning for their answer, what effect humor has to the relationship between instructors and students as well as the relationship among students, the effect of instructors' use of humor on course evaluations.</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Results</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The total number of respondents was 25. This included 20 students and five instructors. Of the 20 students, 12 were female while 8 were male. The five instructors included two females and three males. 15 students stated that they liked the use of humor in </w:t>
      </w:r>
      <w:proofErr w:type="gramStart"/>
      <w:r w:rsidRPr="0064375E">
        <w:rPr>
          <w:rFonts w:ascii="Times New Roman" w:hAnsi="Times New Roman" w:cs="Times New Roman"/>
          <w:sz w:val="24"/>
          <w:szCs w:val="24"/>
        </w:rPr>
        <w:t>learning,</w:t>
      </w:r>
      <w:proofErr w:type="gramEnd"/>
      <w:r w:rsidRPr="0064375E">
        <w:rPr>
          <w:rFonts w:ascii="Times New Roman" w:hAnsi="Times New Roman" w:cs="Times New Roman"/>
          <w:sz w:val="24"/>
          <w:szCs w:val="24"/>
        </w:rPr>
        <w:t xml:space="preserve"> three had their likes to using humor on conditions while two stated that they do not like the use of humor in learning at all. Three instructors stated that they liked the use of humor in learning, 1 liked the use of humor on condition while one disliked the use of humor. 15 students indicated that use of humor by instructors created rapport between students and the instructors, three students indicated that creation of rapport would depend on the effect particular humor has on the student and the instructor, while two stated that humor does not create rapport between the instructor and learners. Three instructors admitted that use of humor in learning creates rapport between the learner and the instructor, one stated that the effect of the created humor on the recipients determines whether rapport would be created or not, while one instructor stated that use of humor does not create rapport. Ten students stated that use of humor by instructors enhances the performance of learners during course evaluations, 18 students stated that enhancement of performance in course evaluations depended on the effect of humor on students while two students stated that the performance during course evaluations had nothing to do with the use of humor. Three instructors stated that use of humor in learning enhances student performance </w:t>
      </w:r>
      <w:r w:rsidRPr="0064375E">
        <w:rPr>
          <w:rFonts w:ascii="Times New Roman" w:hAnsi="Times New Roman" w:cs="Times New Roman"/>
          <w:sz w:val="24"/>
          <w:szCs w:val="24"/>
        </w:rPr>
        <w:lastRenderedPageBreak/>
        <w:t xml:space="preserve">during course evaluations, one stated that influence on performance would depend on the effect of humor on the student while one said that there is no connection whatsoever between the use of humor and student performance during course evaluations. </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Discussion</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The number of respondents who liked the use of humor as well as believed that humor positively impacts learning and performance in course evaluations was greater when compared to the number of respondents who had a contrary view. These results are reflected in the literature review above where we find that most respondents admitted to having a relaxed learning environment where humor is incorporated as well as the existence of healthy relationships between students and instructors as well as among students. Both instructors and students, to a greater extent, admit that there is an improvement in course evaluations among students when instructors use humor in teaching. </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Implications</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Use of humor may have a positive impact as far as influencing course evaluations is concerned, provided that it is used relevantly as indicated earlier on in the literature review. It is important to note that not all students enjoy learning with a sense of humor and it is upon the instructor to single out such students who are few and learn to deal with them in a way that supports their learning.</w:t>
      </w:r>
    </w:p>
    <w:p w:rsidR="0064375E" w:rsidRPr="0064375E" w:rsidRDefault="0064375E" w:rsidP="0064375E">
      <w:pPr>
        <w:spacing w:line="480" w:lineRule="auto"/>
        <w:rPr>
          <w:rFonts w:ascii="Times New Roman" w:hAnsi="Times New Roman" w:cs="Times New Roman"/>
          <w:b/>
          <w:sz w:val="24"/>
          <w:szCs w:val="24"/>
        </w:rPr>
      </w:pPr>
      <w:r w:rsidRPr="0064375E">
        <w:rPr>
          <w:rFonts w:ascii="Times New Roman" w:hAnsi="Times New Roman" w:cs="Times New Roman"/>
          <w:b/>
          <w:sz w:val="24"/>
          <w:szCs w:val="24"/>
        </w:rPr>
        <w:t>Limitations</w:t>
      </w:r>
    </w:p>
    <w:p w:rsidR="0064375E" w:rsidRPr="0064375E" w:rsidRDefault="0064375E" w:rsidP="0064375E">
      <w:pPr>
        <w:spacing w:line="480" w:lineRule="auto"/>
        <w:ind w:firstLine="720"/>
        <w:rPr>
          <w:rFonts w:ascii="Times New Roman" w:hAnsi="Times New Roman" w:cs="Times New Roman"/>
          <w:sz w:val="24"/>
          <w:szCs w:val="24"/>
        </w:rPr>
      </w:pPr>
      <w:r w:rsidRPr="0064375E">
        <w:rPr>
          <w:rFonts w:ascii="Times New Roman" w:hAnsi="Times New Roman" w:cs="Times New Roman"/>
          <w:sz w:val="24"/>
          <w:szCs w:val="24"/>
        </w:rPr>
        <w:t xml:space="preserve">Sample size presented a limitation in that out of a possible 100 students only 20 were used in the research. This could have been occasioned by the fact that the students were asked to </w:t>
      </w:r>
      <w:r w:rsidRPr="0064375E">
        <w:rPr>
          <w:rFonts w:ascii="Times New Roman" w:hAnsi="Times New Roman" w:cs="Times New Roman"/>
          <w:sz w:val="24"/>
          <w:szCs w:val="24"/>
        </w:rPr>
        <w:lastRenderedPageBreak/>
        <w:t>volunteer in participating in this study, which may not have been an adequate encouragement to invite participants. Another limitation is that students were drawn from only one course.</w:t>
      </w:r>
    </w:p>
    <w:p w:rsidR="0064375E" w:rsidRP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rPr>
          <w:rFonts w:ascii="Times New Roman" w:hAnsi="Times New Roman" w:cs="Times New Roman"/>
          <w:sz w:val="24"/>
          <w:szCs w:val="24"/>
        </w:rPr>
      </w:pPr>
    </w:p>
    <w:p w:rsidR="0064375E" w:rsidRPr="0064375E" w:rsidRDefault="0064375E" w:rsidP="0064375E">
      <w:pPr>
        <w:spacing w:line="480" w:lineRule="auto"/>
        <w:jc w:val="center"/>
        <w:rPr>
          <w:rFonts w:ascii="Times New Roman" w:hAnsi="Times New Roman" w:cs="Times New Roman"/>
          <w:b/>
          <w:sz w:val="24"/>
          <w:szCs w:val="24"/>
        </w:rPr>
      </w:pPr>
      <w:r w:rsidRPr="0064375E">
        <w:rPr>
          <w:rFonts w:ascii="Times New Roman" w:hAnsi="Times New Roman" w:cs="Times New Roman"/>
          <w:b/>
          <w:sz w:val="24"/>
          <w:szCs w:val="24"/>
        </w:rPr>
        <w:lastRenderedPageBreak/>
        <w:t>Works cited</w:t>
      </w:r>
    </w:p>
    <w:p w:rsidR="0064375E" w:rsidRPr="0064375E" w:rsidRDefault="0064375E" w:rsidP="0064375E">
      <w:pPr>
        <w:spacing w:line="360" w:lineRule="auto"/>
        <w:ind w:left="720" w:hanging="720"/>
        <w:rPr>
          <w:rFonts w:ascii="Times New Roman" w:hAnsi="Times New Roman" w:cs="Times New Roman"/>
          <w:sz w:val="24"/>
          <w:szCs w:val="24"/>
        </w:rPr>
      </w:pPr>
      <w:proofErr w:type="gramStart"/>
      <w:r w:rsidRPr="0064375E">
        <w:rPr>
          <w:rFonts w:ascii="Times New Roman" w:hAnsi="Times New Roman" w:cs="Times New Roman"/>
          <w:sz w:val="24"/>
          <w:szCs w:val="24"/>
        </w:rPr>
        <w:t>Candela, L.</w:t>
      </w:r>
      <w:proofErr w:type="gramEnd"/>
      <w:r w:rsidRPr="0064375E">
        <w:rPr>
          <w:rFonts w:ascii="Times New Roman" w:hAnsi="Times New Roman" w:cs="Times New Roman"/>
          <w:sz w:val="24"/>
          <w:szCs w:val="24"/>
        </w:rPr>
        <w:t xml:space="preserve"> From teaching to learning: Theoretical foundations. In D.M Billing &amp; J.A. Halstead (Eds.), Teaching in nursing: A guide of faculty (4th </w:t>
      </w:r>
      <w:proofErr w:type="gramStart"/>
      <w:r w:rsidRPr="0064375E">
        <w:rPr>
          <w:rFonts w:ascii="Times New Roman" w:hAnsi="Times New Roman" w:cs="Times New Roman"/>
          <w:sz w:val="24"/>
          <w:szCs w:val="24"/>
        </w:rPr>
        <w:t>ed</w:t>
      </w:r>
      <w:proofErr w:type="gramEnd"/>
      <w:r w:rsidRPr="0064375E">
        <w:rPr>
          <w:rFonts w:ascii="Times New Roman" w:hAnsi="Times New Roman" w:cs="Times New Roman"/>
          <w:sz w:val="24"/>
          <w:szCs w:val="24"/>
        </w:rPr>
        <w:t xml:space="preserve">.)  2012, pp. 202-243). St Louis, MO: Saunders. </w:t>
      </w:r>
    </w:p>
    <w:p w:rsidR="0064375E" w:rsidRPr="0064375E" w:rsidRDefault="0064375E" w:rsidP="0064375E">
      <w:pPr>
        <w:spacing w:line="360" w:lineRule="auto"/>
        <w:ind w:left="720" w:hanging="720"/>
        <w:rPr>
          <w:rFonts w:ascii="Times New Roman" w:hAnsi="Times New Roman" w:cs="Times New Roman"/>
          <w:sz w:val="24"/>
          <w:szCs w:val="24"/>
        </w:rPr>
      </w:pPr>
      <w:r w:rsidRPr="0064375E">
        <w:rPr>
          <w:rFonts w:ascii="Times New Roman" w:hAnsi="Times New Roman" w:cs="Times New Roman"/>
          <w:sz w:val="24"/>
          <w:szCs w:val="24"/>
        </w:rPr>
        <w:t xml:space="preserve">Chiarello, M.A. Humor as a teaching tool: Use in undergraduate psychiatric nursing. Journal of Psychosocial; Nursing and Mental Health Services, 48 (8), 2010, pp. 24-41. </w:t>
      </w:r>
      <w:proofErr w:type="spellStart"/>
      <w:proofErr w:type="gramStart"/>
      <w:r w:rsidRPr="0064375E">
        <w:rPr>
          <w:rFonts w:ascii="Times New Roman" w:hAnsi="Times New Roman" w:cs="Times New Roman"/>
          <w:sz w:val="24"/>
          <w:szCs w:val="24"/>
        </w:rPr>
        <w:t>doi</w:t>
      </w:r>
      <w:proofErr w:type="spellEnd"/>
      <w:proofErr w:type="gramEnd"/>
      <w:r w:rsidRPr="0064375E">
        <w:rPr>
          <w:rFonts w:ascii="Times New Roman" w:hAnsi="Times New Roman" w:cs="Times New Roman"/>
          <w:sz w:val="24"/>
          <w:szCs w:val="24"/>
        </w:rPr>
        <w:t>: 10.3928.02793695-20100701-02.</w:t>
      </w:r>
    </w:p>
    <w:p w:rsidR="0064375E" w:rsidRPr="0064375E" w:rsidRDefault="0064375E" w:rsidP="0064375E">
      <w:pPr>
        <w:spacing w:line="360" w:lineRule="auto"/>
        <w:ind w:left="720" w:hanging="720"/>
        <w:rPr>
          <w:rFonts w:ascii="Times New Roman" w:hAnsi="Times New Roman" w:cs="Times New Roman"/>
          <w:sz w:val="24"/>
          <w:szCs w:val="24"/>
        </w:rPr>
      </w:pPr>
      <w:r w:rsidRPr="0064375E">
        <w:rPr>
          <w:rFonts w:ascii="Times New Roman" w:hAnsi="Times New Roman" w:cs="Times New Roman"/>
          <w:sz w:val="24"/>
          <w:szCs w:val="24"/>
        </w:rPr>
        <w:t>Englert, L.M. Learning with laughter: using humor in the nursing classroom. Nursing Education Perspectives, 31 (1), 2011, pp. 48-49.</w:t>
      </w:r>
    </w:p>
    <w:p w:rsidR="0064375E" w:rsidRPr="0064375E" w:rsidRDefault="0064375E" w:rsidP="0064375E">
      <w:pPr>
        <w:spacing w:line="360" w:lineRule="auto"/>
        <w:ind w:left="720" w:hanging="720"/>
        <w:rPr>
          <w:rFonts w:ascii="Times New Roman" w:hAnsi="Times New Roman" w:cs="Times New Roman"/>
          <w:sz w:val="24"/>
          <w:szCs w:val="24"/>
        </w:rPr>
      </w:pPr>
      <w:r w:rsidRPr="0064375E">
        <w:rPr>
          <w:rFonts w:ascii="Times New Roman" w:hAnsi="Times New Roman" w:cs="Times New Roman"/>
          <w:sz w:val="24"/>
          <w:szCs w:val="24"/>
        </w:rPr>
        <w:t>Lei, S.A., Cohen, J., L., and Russler, K. M. Humor in learning in the college classroom: Evaluating benefits and drawbacks from instructor's perspectives. Journal of Instructional Psychology, 37 (4), 2010, pp. 326-331.</w:t>
      </w:r>
    </w:p>
    <w:p w:rsidR="0064375E" w:rsidRPr="0064375E" w:rsidRDefault="0064375E" w:rsidP="0064375E">
      <w:pPr>
        <w:spacing w:line="360" w:lineRule="auto"/>
        <w:ind w:left="720" w:hanging="720"/>
        <w:rPr>
          <w:rFonts w:ascii="Times New Roman" w:hAnsi="Times New Roman" w:cs="Times New Roman"/>
          <w:sz w:val="24"/>
          <w:szCs w:val="24"/>
        </w:rPr>
      </w:pPr>
      <w:r w:rsidRPr="0064375E">
        <w:rPr>
          <w:rFonts w:ascii="Times New Roman" w:hAnsi="Times New Roman" w:cs="Times New Roman"/>
          <w:sz w:val="24"/>
          <w:szCs w:val="24"/>
        </w:rPr>
        <w:t>Nadler, J. T., and Clark, M. H. Pre-Class coming attractions: interest and program awareness in the classroom. Journal of Instructional Psychology, 37 (40), 2010, pp. 332-336.</w:t>
      </w:r>
    </w:p>
    <w:p w:rsidR="0064375E" w:rsidRPr="0064375E" w:rsidRDefault="0064375E" w:rsidP="0064375E">
      <w:pPr>
        <w:spacing w:line="360" w:lineRule="auto"/>
        <w:ind w:left="720" w:hanging="720"/>
        <w:rPr>
          <w:rFonts w:ascii="Times New Roman" w:hAnsi="Times New Roman" w:cs="Times New Roman"/>
          <w:sz w:val="24"/>
          <w:szCs w:val="24"/>
        </w:rPr>
      </w:pPr>
      <w:r w:rsidRPr="0064375E">
        <w:rPr>
          <w:rFonts w:ascii="Times New Roman" w:hAnsi="Times New Roman" w:cs="Times New Roman"/>
          <w:sz w:val="24"/>
          <w:szCs w:val="24"/>
        </w:rPr>
        <w:t xml:space="preserve">Piemonte N.M. last laughs: gallows humor and medical education. J. Med </w:t>
      </w:r>
      <w:proofErr w:type="spellStart"/>
      <w:r w:rsidRPr="0064375E">
        <w:rPr>
          <w:rFonts w:ascii="Times New Roman" w:hAnsi="Times New Roman" w:cs="Times New Roman"/>
          <w:sz w:val="24"/>
          <w:szCs w:val="24"/>
        </w:rPr>
        <w:t>Humanit</w:t>
      </w:r>
      <w:proofErr w:type="spellEnd"/>
      <w:r w:rsidRPr="0064375E">
        <w:rPr>
          <w:rFonts w:ascii="Times New Roman" w:hAnsi="Times New Roman" w:cs="Times New Roman"/>
          <w:sz w:val="24"/>
          <w:szCs w:val="24"/>
        </w:rPr>
        <w:t>, 36, 2015, 375-390.</w:t>
      </w:r>
    </w:p>
    <w:p w:rsidR="0064375E" w:rsidRPr="0064375E" w:rsidRDefault="0064375E" w:rsidP="0064375E">
      <w:pPr>
        <w:spacing w:line="360" w:lineRule="auto"/>
        <w:ind w:left="720" w:hanging="720"/>
        <w:rPr>
          <w:rFonts w:ascii="Times New Roman" w:hAnsi="Times New Roman" w:cs="Times New Roman"/>
          <w:sz w:val="24"/>
          <w:szCs w:val="24"/>
        </w:rPr>
      </w:pPr>
      <w:r w:rsidRPr="0064375E">
        <w:rPr>
          <w:rFonts w:ascii="Times New Roman" w:hAnsi="Times New Roman" w:cs="Times New Roman"/>
          <w:sz w:val="24"/>
          <w:szCs w:val="24"/>
        </w:rPr>
        <w:t xml:space="preserve">Riesch H. Why did the proton cross the road? Humor and science communication. Public </w:t>
      </w:r>
      <w:proofErr w:type="spellStart"/>
      <w:r w:rsidRPr="0064375E">
        <w:rPr>
          <w:rFonts w:ascii="Times New Roman" w:hAnsi="Times New Roman" w:cs="Times New Roman"/>
          <w:sz w:val="24"/>
          <w:szCs w:val="24"/>
        </w:rPr>
        <w:t>Underst</w:t>
      </w:r>
      <w:proofErr w:type="spellEnd"/>
      <w:r w:rsidRPr="0064375E">
        <w:rPr>
          <w:rFonts w:ascii="Times New Roman" w:hAnsi="Times New Roman" w:cs="Times New Roman"/>
          <w:sz w:val="24"/>
          <w:szCs w:val="24"/>
        </w:rPr>
        <w:t xml:space="preserve"> </w:t>
      </w:r>
      <w:proofErr w:type="spellStart"/>
      <w:r w:rsidRPr="0064375E">
        <w:rPr>
          <w:rFonts w:ascii="Times New Roman" w:hAnsi="Times New Roman" w:cs="Times New Roman"/>
          <w:sz w:val="24"/>
          <w:szCs w:val="24"/>
        </w:rPr>
        <w:t>Sci</w:t>
      </w:r>
      <w:proofErr w:type="spellEnd"/>
      <w:r w:rsidRPr="0064375E">
        <w:rPr>
          <w:rFonts w:ascii="Times New Roman" w:hAnsi="Times New Roman" w:cs="Times New Roman"/>
          <w:sz w:val="24"/>
          <w:szCs w:val="24"/>
        </w:rPr>
        <w:t>, 24, 2015, 768-775</w:t>
      </w:r>
    </w:p>
    <w:sectPr w:rsidR="0064375E" w:rsidRPr="0064375E" w:rsidSect="00DD7B3E">
      <w:headerReference w:type="default" r:id="rId7"/>
      <w:pgSz w:w="12240" w:h="15840"/>
      <w:pgMar w:top="1710" w:right="1440" w:bottom="17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96E" w:rsidRDefault="00DD696E" w:rsidP="00924B96">
      <w:pPr>
        <w:spacing w:after="0" w:line="240" w:lineRule="auto"/>
      </w:pPr>
      <w:r>
        <w:separator/>
      </w:r>
    </w:p>
  </w:endnote>
  <w:endnote w:type="continuationSeparator" w:id="0">
    <w:p w:rsidR="00DD696E" w:rsidRDefault="00DD696E" w:rsidP="00924B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96E" w:rsidRDefault="00DD696E" w:rsidP="00924B96">
      <w:pPr>
        <w:spacing w:after="0" w:line="240" w:lineRule="auto"/>
      </w:pPr>
      <w:r>
        <w:separator/>
      </w:r>
    </w:p>
  </w:footnote>
  <w:footnote w:type="continuationSeparator" w:id="0">
    <w:p w:rsidR="00DD696E" w:rsidRDefault="00DD696E" w:rsidP="00924B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4"/>
        <w:szCs w:val="24"/>
      </w:rPr>
      <w:id w:val="376743226"/>
      <w:docPartObj>
        <w:docPartGallery w:val="Page Numbers (Top of Page)"/>
        <w:docPartUnique/>
      </w:docPartObj>
    </w:sdtPr>
    <w:sdtEndPr>
      <w:rPr>
        <w:rFonts w:ascii="Times New Roman" w:hAnsi="Times New Roman" w:cs="Times New Roman"/>
        <w:noProof/>
      </w:rPr>
    </w:sdtEndPr>
    <w:sdtContent>
      <w:p w:rsidR="00924B96" w:rsidRPr="0064375E" w:rsidRDefault="00924B96" w:rsidP="0064375E">
        <w:pPr>
          <w:pStyle w:val="Header"/>
          <w:spacing w:line="480" w:lineRule="auto"/>
          <w:jc w:val="right"/>
          <w:rPr>
            <w:rFonts w:ascii="Times New Roman" w:hAnsi="Times New Roman" w:cs="Times New Roman"/>
            <w:sz w:val="24"/>
            <w:szCs w:val="24"/>
          </w:rPr>
        </w:pPr>
        <w:r w:rsidRPr="0064375E">
          <w:rPr>
            <w:rFonts w:ascii="Times New Roman" w:hAnsi="Times New Roman" w:cs="Times New Roman"/>
            <w:sz w:val="24"/>
            <w:szCs w:val="24"/>
          </w:rPr>
          <w:t xml:space="preserve">(Surname) </w:t>
        </w:r>
        <w:r w:rsidR="0030258E" w:rsidRPr="0064375E">
          <w:rPr>
            <w:rFonts w:ascii="Times New Roman" w:hAnsi="Times New Roman" w:cs="Times New Roman"/>
            <w:sz w:val="24"/>
            <w:szCs w:val="24"/>
          </w:rPr>
          <w:fldChar w:fldCharType="begin"/>
        </w:r>
        <w:r w:rsidRPr="0064375E">
          <w:rPr>
            <w:rFonts w:ascii="Times New Roman" w:hAnsi="Times New Roman" w:cs="Times New Roman"/>
            <w:sz w:val="24"/>
            <w:szCs w:val="24"/>
          </w:rPr>
          <w:instrText xml:space="preserve"> PAGE   \* MERGEFORMAT </w:instrText>
        </w:r>
        <w:r w:rsidR="0030258E" w:rsidRPr="0064375E">
          <w:rPr>
            <w:rFonts w:ascii="Times New Roman" w:hAnsi="Times New Roman" w:cs="Times New Roman"/>
            <w:sz w:val="24"/>
            <w:szCs w:val="24"/>
          </w:rPr>
          <w:fldChar w:fldCharType="separate"/>
        </w:r>
        <w:r w:rsidR="0064375E">
          <w:rPr>
            <w:rFonts w:ascii="Times New Roman" w:hAnsi="Times New Roman" w:cs="Times New Roman"/>
            <w:noProof/>
            <w:sz w:val="24"/>
            <w:szCs w:val="24"/>
          </w:rPr>
          <w:t>8</w:t>
        </w:r>
        <w:r w:rsidR="0030258E" w:rsidRPr="0064375E">
          <w:rPr>
            <w:rFonts w:ascii="Times New Roman" w:hAnsi="Times New Roman" w:cs="Times New Roman"/>
            <w:noProof/>
            <w:sz w:val="24"/>
            <w:szCs w:val="24"/>
          </w:rPr>
          <w:fldChar w:fldCharType="end"/>
        </w:r>
      </w:p>
    </w:sdtContent>
  </w:sdt>
  <w:p w:rsidR="00924B96" w:rsidRPr="0064375E" w:rsidRDefault="00924B96" w:rsidP="0064375E">
    <w:pPr>
      <w:pStyle w:val="Header"/>
      <w:spacing w:line="480" w:lineRule="auto"/>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6451ED"/>
    <w:multiLevelType w:val="hybridMultilevel"/>
    <w:tmpl w:val="EBF0F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3446939"/>
    <w:multiLevelType w:val="hybridMultilevel"/>
    <w:tmpl w:val="92149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77806"/>
    <w:rsid w:val="000004C2"/>
    <w:rsid w:val="000645C3"/>
    <w:rsid w:val="00077806"/>
    <w:rsid w:val="000A04BF"/>
    <w:rsid w:val="000B24C8"/>
    <w:rsid w:val="000D1745"/>
    <w:rsid w:val="000D5502"/>
    <w:rsid w:val="000F14FE"/>
    <w:rsid w:val="00107555"/>
    <w:rsid w:val="00120175"/>
    <w:rsid w:val="00137534"/>
    <w:rsid w:val="00173F0C"/>
    <w:rsid w:val="0018731F"/>
    <w:rsid w:val="00190C72"/>
    <w:rsid w:val="0019104B"/>
    <w:rsid w:val="00193816"/>
    <w:rsid w:val="001A06E7"/>
    <w:rsid w:val="00202A55"/>
    <w:rsid w:val="00204BC5"/>
    <w:rsid w:val="00205218"/>
    <w:rsid w:val="00206B18"/>
    <w:rsid w:val="002162B9"/>
    <w:rsid w:val="00235568"/>
    <w:rsid w:val="002722F1"/>
    <w:rsid w:val="00287D74"/>
    <w:rsid w:val="00292918"/>
    <w:rsid w:val="002A2B74"/>
    <w:rsid w:val="002D4C8B"/>
    <w:rsid w:val="002E64EC"/>
    <w:rsid w:val="002F5889"/>
    <w:rsid w:val="0030258E"/>
    <w:rsid w:val="00316706"/>
    <w:rsid w:val="00320E79"/>
    <w:rsid w:val="003255FA"/>
    <w:rsid w:val="00363AF4"/>
    <w:rsid w:val="00370F19"/>
    <w:rsid w:val="0038259A"/>
    <w:rsid w:val="003A03A1"/>
    <w:rsid w:val="003F495E"/>
    <w:rsid w:val="00402D65"/>
    <w:rsid w:val="00445E55"/>
    <w:rsid w:val="00445F38"/>
    <w:rsid w:val="00446FE2"/>
    <w:rsid w:val="00456CF3"/>
    <w:rsid w:val="00465556"/>
    <w:rsid w:val="004D1DCC"/>
    <w:rsid w:val="004F2A12"/>
    <w:rsid w:val="00504E04"/>
    <w:rsid w:val="00521C5F"/>
    <w:rsid w:val="00575936"/>
    <w:rsid w:val="00594A47"/>
    <w:rsid w:val="005E658E"/>
    <w:rsid w:val="005F1EB2"/>
    <w:rsid w:val="005F5A0B"/>
    <w:rsid w:val="0060183B"/>
    <w:rsid w:val="00615D26"/>
    <w:rsid w:val="00617176"/>
    <w:rsid w:val="006415C3"/>
    <w:rsid w:val="0064375E"/>
    <w:rsid w:val="00670489"/>
    <w:rsid w:val="006714B4"/>
    <w:rsid w:val="00675D50"/>
    <w:rsid w:val="0068267A"/>
    <w:rsid w:val="006969FB"/>
    <w:rsid w:val="006A09BD"/>
    <w:rsid w:val="006A26EC"/>
    <w:rsid w:val="006A72F7"/>
    <w:rsid w:val="006C1A0A"/>
    <w:rsid w:val="006C2CD5"/>
    <w:rsid w:val="006D5447"/>
    <w:rsid w:val="00706204"/>
    <w:rsid w:val="00724A00"/>
    <w:rsid w:val="007A16C9"/>
    <w:rsid w:val="007C07D5"/>
    <w:rsid w:val="007C703F"/>
    <w:rsid w:val="007E7EA0"/>
    <w:rsid w:val="007F3C9F"/>
    <w:rsid w:val="007F68E5"/>
    <w:rsid w:val="00821454"/>
    <w:rsid w:val="00842B9B"/>
    <w:rsid w:val="008514B1"/>
    <w:rsid w:val="008763E7"/>
    <w:rsid w:val="00881057"/>
    <w:rsid w:val="0088315D"/>
    <w:rsid w:val="00892ABA"/>
    <w:rsid w:val="0089595C"/>
    <w:rsid w:val="008A592D"/>
    <w:rsid w:val="008A6607"/>
    <w:rsid w:val="008C6FD2"/>
    <w:rsid w:val="008D15BB"/>
    <w:rsid w:val="008F0B9B"/>
    <w:rsid w:val="009074C6"/>
    <w:rsid w:val="00924059"/>
    <w:rsid w:val="00924B96"/>
    <w:rsid w:val="00965567"/>
    <w:rsid w:val="00980584"/>
    <w:rsid w:val="00985B98"/>
    <w:rsid w:val="009A3E28"/>
    <w:rsid w:val="009B1E90"/>
    <w:rsid w:val="009D540E"/>
    <w:rsid w:val="00A23B24"/>
    <w:rsid w:val="00A44C5B"/>
    <w:rsid w:val="00A717C7"/>
    <w:rsid w:val="00AD1D5B"/>
    <w:rsid w:val="00AD6D4E"/>
    <w:rsid w:val="00B375BD"/>
    <w:rsid w:val="00B61258"/>
    <w:rsid w:val="00B673AA"/>
    <w:rsid w:val="00B80D53"/>
    <w:rsid w:val="00B91DD6"/>
    <w:rsid w:val="00BB5158"/>
    <w:rsid w:val="00BB5F70"/>
    <w:rsid w:val="00BB7625"/>
    <w:rsid w:val="00BC2104"/>
    <w:rsid w:val="00BC6004"/>
    <w:rsid w:val="00C416E8"/>
    <w:rsid w:val="00C72EBC"/>
    <w:rsid w:val="00C920B7"/>
    <w:rsid w:val="00CB5ED3"/>
    <w:rsid w:val="00CE6502"/>
    <w:rsid w:val="00CE6ABA"/>
    <w:rsid w:val="00CF26E3"/>
    <w:rsid w:val="00D149A3"/>
    <w:rsid w:val="00D27941"/>
    <w:rsid w:val="00D57D48"/>
    <w:rsid w:val="00D6465E"/>
    <w:rsid w:val="00D646C7"/>
    <w:rsid w:val="00DC116E"/>
    <w:rsid w:val="00DD696E"/>
    <w:rsid w:val="00DD7B3E"/>
    <w:rsid w:val="00DF64BD"/>
    <w:rsid w:val="00E12463"/>
    <w:rsid w:val="00E36F08"/>
    <w:rsid w:val="00E41337"/>
    <w:rsid w:val="00E57533"/>
    <w:rsid w:val="00EB2ABB"/>
    <w:rsid w:val="00EE6A4A"/>
    <w:rsid w:val="00EF3ADE"/>
    <w:rsid w:val="00F03188"/>
    <w:rsid w:val="00F17D8D"/>
    <w:rsid w:val="00F30A61"/>
    <w:rsid w:val="00F46223"/>
    <w:rsid w:val="00F77524"/>
    <w:rsid w:val="00F90B8A"/>
    <w:rsid w:val="00FB1B77"/>
    <w:rsid w:val="00FE0B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5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F70"/>
    <w:pPr>
      <w:ind w:left="720"/>
      <w:contextualSpacing/>
    </w:pPr>
  </w:style>
  <w:style w:type="paragraph" w:styleId="Header">
    <w:name w:val="header"/>
    <w:basedOn w:val="Normal"/>
    <w:link w:val="HeaderChar"/>
    <w:uiPriority w:val="99"/>
    <w:unhideWhenUsed/>
    <w:rsid w:val="00924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B96"/>
  </w:style>
  <w:style w:type="paragraph" w:styleId="Footer">
    <w:name w:val="footer"/>
    <w:basedOn w:val="Normal"/>
    <w:link w:val="FooterChar"/>
    <w:uiPriority w:val="99"/>
    <w:unhideWhenUsed/>
    <w:rsid w:val="00924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B9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1709</Words>
  <Characters>9745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2018-10-30T06:34:00Z</dcterms:created>
  <dcterms:modified xsi:type="dcterms:W3CDTF">2018-10-30T06:45:00Z</dcterms:modified>
</cp:coreProperties>
</file>